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92" w:rsidRDefault="00875992" w:rsidP="00875992">
      <w:pPr>
        <w:pStyle w:val="Heading1"/>
        <w:rPr>
          <w:rFonts w:ascii="Times New Roman" w:hAnsi="Times New Roman" w:cs="Times New Roman"/>
          <w:sz w:val="34"/>
        </w:rPr>
      </w:pPr>
      <w:r>
        <w:rPr>
          <w:rFonts w:ascii="Times New Roman" w:hAnsi="Times New Roman" w:cs="Times New Roman"/>
          <w:sz w:val="34"/>
        </w:rPr>
        <w:t>Erasmus University Rotterdam CSC PhD 2013</w:t>
      </w:r>
    </w:p>
    <w:p w:rsidR="00875992" w:rsidRPr="00183752" w:rsidRDefault="00875992" w:rsidP="00875992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Project Description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6994"/>
      </w:tblGrid>
      <w:tr w:rsidR="00875992" w:rsidRPr="00875992" w:rsidTr="0032739F">
        <w:trPr>
          <w:trHeight w:val="48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Default="00875992" w:rsidP="0032739F">
            <w:pPr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School/Department: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Pr="00875992" w:rsidRDefault="00CC1EDA" w:rsidP="00875992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Department of Neuroscience</w:t>
            </w:r>
          </w:p>
          <w:p w:rsid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875992">
              <w:rPr>
                <w:rFonts w:eastAsiaTheme="minorEastAsia"/>
                <w:bCs/>
              </w:rPr>
              <w:t xml:space="preserve">Erasmus </w:t>
            </w:r>
            <w:r w:rsidR="00CC1EDA">
              <w:rPr>
                <w:rFonts w:eastAsiaTheme="minorEastAsia"/>
                <w:bCs/>
              </w:rPr>
              <w:t xml:space="preserve">University </w:t>
            </w:r>
            <w:r w:rsidRPr="00875992">
              <w:rPr>
                <w:rFonts w:eastAsiaTheme="minorEastAsia"/>
                <w:bCs/>
              </w:rPr>
              <w:t>M</w:t>
            </w:r>
            <w:r w:rsidR="00CC1EDA">
              <w:rPr>
                <w:rFonts w:eastAsiaTheme="minorEastAsia"/>
                <w:bCs/>
              </w:rPr>
              <w:t xml:space="preserve">edical </w:t>
            </w:r>
            <w:r w:rsidRPr="00875992">
              <w:rPr>
                <w:rFonts w:eastAsiaTheme="minorEastAsia"/>
                <w:bCs/>
              </w:rPr>
              <w:t>C</w:t>
            </w:r>
            <w:r w:rsidR="00CC1EDA">
              <w:rPr>
                <w:rFonts w:eastAsiaTheme="minorEastAsia"/>
                <w:bCs/>
              </w:rPr>
              <w:t>enter</w:t>
            </w:r>
            <w:r w:rsidRPr="00875992">
              <w:rPr>
                <w:rFonts w:eastAsiaTheme="minorEastAsia"/>
                <w:bCs/>
              </w:rPr>
              <w:t>, Rotterdam,</w:t>
            </w:r>
            <w:r>
              <w:rPr>
                <w:rFonts w:eastAsiaTheme="minorEastAsia"/>
                <w:bCs/>
              </w:rPr>
              <w:t xml:space="preserve"> </w:t>
            </w:r>
            <w:r w:rsidRPr="00875992">
              <w:rPr>
                <w:rFonts w:eastAsiaTheme="minorEastAsia"/>
                <w:bCs/>
              </w:rPr>
              <w:t>The Netherlands</w:t>
            </w:r>
          </w:p>
          <w:p w:rsidR="00A83E27" w:rsidRPr="00875992" w:rsidRDefault="00A83E27" w:rsidP="00875992">
            <w:pPr>
              <w:autoSpaceDE w:val="0"/>
              <w:autoSpaceDN w:val="0"/>
              <w:adjustRightInd w:val="0"/>
            </w:pPr>
          </w:p>
        </w:tc>
      </w:tr>
      <w:tr w:rsidR="00875992" w:rsidTr="0032739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Default="00875992" w:rsidP="0032739F">
            <w:pPr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Project Title: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Pr="00A83E27" w:rsidRDefault="00875992" w:rsidP="0032739F">
            <w:pPr>
              <w:rPr>
                <w:rFonts w:eastAsiaTheme="minorEastAsia"/>
                <w:b/>
                <w:bCs/>
              </w:rPr>
            </w:pPr>
            <w:r w:rsidRPr="00A83E27">
              <w:rPr>
                <w:rFonts w:eastAsiaTheme="minorEastAsia"/>
                <w:b/>
                <w:bCs/>
              </w:rPr>
              <w:t>New Therapies For Cerebellar Autism</w:t>
            </w:r>
          </w:p>
          <w:p w:rsidR="00A83E27" w:rsidRPr="00A83E27" w:rsidRDefault="00A83E27" w:rsidP="0032739F">
            <w:pPr>
              <w:rPr>
                <w:b/>
                <w:sz w:val="22"/>
                <w:szCs w:val="22"/>
              </w:rPr>
            </w:pPr>
          </w:p>
        </w:tc>
      </w:tr>
      <w:tr w:rsidR="00875992" w:rsidTr="0032739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Default="00875992" w:rsidP="0032739F">
            <w:pPr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Abstract: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Autism comprises a heterogeneous group of neurodevelopmental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disorders characterized by variations in social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interactions, communication, and the manifestation of ritualistic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behaviors. A large number of rare high-impact mutations have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been identified in autistic patients often suffering from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cerebellar pathology. However, most insights into the synaptic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pathophysiology of autism are derived from models of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monogenic syndromes, such as fragile X syndrome, where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about 25% of patients meet diagnostic criteria of autism. In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fragile X, the key defect in synaptic transmission is elevated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group I metabotropic glutamate receptor-dependent synaptic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plasticity (</w:t>
            </w:r>
            <w:proofErr w:type="spellStart"/>
            <w:r w:rsidRPr="00875992">
              <w:rPr>
                <w:rFonts w:eastAsiaTheme="minorEastAsia"/>
              </w:rPr>
              <w:t>mGluR</w:t>
            </w:r>
            <w:proofErr w:type="spellEnd"/>
            <w:r w:rsidRPr="00875992">
              <w:rPr>
                <w:rFonts w:eastAsiaTheme="minorEastAsia"/>
              </w:rPr>
              <w:t>-LTD) (for cerebellar deficits see e.g.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875992">
              <w:rPr>
                <w:rFonts w:eastAsiaTheme="minorEastAsia"/>
              </w:rPr>
              <w:t>Koekkoek</w:t>
            </w:r>
            <w:proofErr w:type="spellEnd"/>
            <w:r w:rsidRPr="00875992">
              <w:rPr>
                <w:rFonts w:eastAsiaTheme="minorEastAsia"/>
              </w:rPr>
              <w:t xml:space="preserve"> et al., 2005, </w:t>
            </w:r>
            <w:r w:rsidRPr="00875992">
              <w:rPr>
                <w:rFonts w:eastAsiaTheme="minorEastAsia"/>
                <w:i/>
                <w:iCs/>
              </w:rPr>
              <w:t>Neuron</w:t>
            </w:r>
            <w:r w:rsidRPr="00875992">
              <w:rPr>
                <w:rFonts w:eastAsiaTheme="minorEastAsia"/>
              </w:rPr>
              <w:t>). However, most cases of autism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are </w:t>
            </w:r>
            <w:proofErr w:type="spellStart"/>
            <w:r w:rsidRPr="00875992">
              <w:rPr>
                <w:rFonts w:eastAsiaTheme="minorEastAsia"/>
              </w:rPr>
              <w:t>nonsyndromic</w:t>
            </w:r>
            <w:proofErr w:type="spellEnd"/>
            <w:r w:rsidRPr="00875992">
              <w:rPr>
                <w:rFonts w:eastAsiaTheme="minorEastAsia"/>
              </w:rPr>
              <w:t>, and until recently, it was unclear whether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these share pathophysiology with fragile X. One class of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875992">
              <w:rPr>
                <w:rFonts w:eastAsiaTheme="minorEastAsia"/>
              </w:rPr>
              <w:t>nonsyndromic</w:t>
            </w:r>
            <w:proofErr w:type="spellEnd"/>
            <w:r w:rsidRPr="00875992">
              <w:rPr>
                <w:rFonts w:eastAsiaTheme="minorEastAsia"/>
              </w:rPr>
              <w:t xml:space="preserve"> forms of autism is associated with mutations in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the </w:t>
            </w:r>
            <w:proofErr w:type="spellStart"/>
            <w:r w:rsidRPr="00875992">
              <w:rPr>
                <w:rFonts w:eastAsiaTheme="minorEastAsia"/>
              </w:rPr>
              <w:t>Neuroligin</w:t>
            </w:r>
            <w:proofErr w:type="spellEnd"/>
            <w:r w:rsidRPr="00875992">
              <w:rPr>
                <w:rFonts w:eastAsiaTheme="minorEastAsia"/>
              </w:rPr>
              <w:t xml:space="preserve"> genes (</w:t>
            </w:r>
            <w:r w:rsidRPr="00875992">
              <w:rPr>
                <w:rFonts w:eastAsiaTheme="minorEastAsia"/>
                <w:i/>
                <w:iCs/>
              </w:rPr>
              <w:t>Nlgn1,2,3,4</w:t>
            </w:r>
            <w:r w:rsidRPr="00875992">
              <w:rPr>
                <w:rFonts w:eastAsiaTheme="minorEastAsia"/>
              </w:rPr>
              <w:t>), which encode postsynaptic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adhesion molecules involved in synapse assembly (proteins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NL1,2,3,4). We have now demonstrated that </w:t>
            </w:r>
            <w:proofErr w:type="spellStart"/>
            <w:r w:rsidRPr="00875992">
              <w:rPr>
                <w:rFonts w:eastAsiaTheme="minorEastAsia"/>
              </w:rPr>
              <w:t>mGluR</w:t>
            </w:r>
            <w:proofErr w:type="spellEnd"/>
            <w:r w:rsidRPr="00875992">
              <w:rPr>
                <w:rFonts w:eastAsiaTheme="minorEastAsia"/>
              </w:rPr>
              <w:t>-dependent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cerebellar plasticity is also affected in Neuroligin-3 knock-out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mice and that large parts of the </w:t>
            </w:r>
            <w:proofErr w:type="spellStart"/>
            <w:r w:rsidRPr="00875992">
              <w:rPr>
                <w:rFonts w:eastAsiaTheme="minorEastAsia"/>
              </w:rPr>
              <w:t>neuro</w:t>
            </w:r>
            <w:proofErr w:type="spellEnd"/>
            <w:r w:rsidRPr="00875992">
              <w:rPr>
                <w:rFonts w:eastAsiaTheme="minorEastAsia"/>
              </w:rPr>
              <w:t>-developmental signs of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autism can be rescued by specific re-expression of neuroligin-3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in Purkinje cells of the cerebellum in juvenile mice, highlighting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the possibility for reverting neuronal circuit alterations in autism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after completion of development (</w:t>
            </w:r>
            <w:proofErr w:type="spellStart"/>
            <w:r w:rsidRPr="00875992">
              <w:rPr>
                <w:rFonts w:eastAsiaTheme="minorEastAsia"/>
              </w:rPr>
              <w:t>Baudouin</w:t>
            </w:r>
            <w:proofErr w:type="spellEnd"/>
            <w:r w:rsidRPr="00875992">
              <w:rPr>
                <w:rFonts w:eastAsiaTheme="minorEastAsia"/>
              </w:rPr>
              <w:t xml:space="preserve"> et al., 2012,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  <w:i/>
                <w:iCs/>
              </w:rPr>
              <w:t>Science</w:t>
            </w:r>
            <w:r w:rsidRPr="00875992">
              <w:rPr>
                <w:rFonts w:eastAsiaTheme="minorEastAsia"/>
              </w:rPr>
              <w:t>). Moreover, we have recently also demonstrated that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the behavioral deficits resulting from altered </w:t>
            </w:r>
            <w:proofErr w:type="spellStart"/>
            <w:r w:rsidRPr="00875992">
              <w:rPr>
                <w:rFonts w:eastAsiaTheme="minorEastAsia"/>
              </w:rPr>
              <w:t>mGluR</w:t>
            </w:r>
            <w:proofErr w:type="spellEnd"/>
            <w:r w:rsidRPr="00875992">
              <w:rPr>
                <w:rFonts w:eastAsiaTheme="minorEastAsia"/>
              </w:rPr>
              <w:t>-dependent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plasticity in fragile X can be rescued by application of </w:t>
            </w:r>
            <w:proofErr w:type="spellStart"/>
            <w:r w:rsidRPr="00875992">
              <w:rPr>
                <w:rFonts w:eastAsiaTheme="minorEastAsia"/>
              </w:rPr>
              <w:t>mGluR</w:t>
            </w:r>
            <w:proofErr w:type="spellEnd"/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antagonists (</w:t>
            </w:r>
            <w:proofErr w:type="spellStart"/>
            <w:r w:rsidRPr="00875992">
              <w:rPr>
                <w:rFonts w:eastAsiaTheme="minorEastAsia"/>
              </w:rPr>
              <w:t>Vinueza</w:t>
            </w:r>
            <w:proofErr w:type="spellEnd"/>
            <w:r w:rsidRPr="00875992">
              <w:rPr>
                <w:rFonts w:eastAsiaTheme="minorEastAsia"/>
              </w:rPr>
              <w:t xml:space="preserve"> </w:t>
            </w:r>
            <w:proofErr w:type="spellStart"/>
            <w:r w:rsidRPr="00875992">
              <w:rPr>
                <w:rFonts w:eastAsiaTheme="minorEastAsia"/>
              </w:rPr>
              <w:t>Veloz</w:t>
            </w:r>
            <w:proofErr w:type="spellEnd"/>
            <w:r w:rsidRPr="00875992">
              <w:rPr>
                <w:rFonts w:eastAsiaTheme="minorEastAsia"/>
              </w:rPr>
              <w:t xml:space="preserve"> et al., 2012, </w:t>
            </w:r>
            <w:r w:rsidRPr="00875992">
              <w:rPr>
                <w:rFonts w:eastAsiaTheme="minorEastAsia"/>
                <w:i/>
                <w:iCs/>
              </w:rPr>
              <w:t xml:space="preserve">Genes Brain </w:t>
            </w:r>
            <w:proofErr w:type="spellStart"/>
            <w:r w:rsidRPr="00875992">
              <w:rPr>
                <w:rFonts w:eastAsiaTheme="minorEastAsia"/>
                <w:i/>
                <w:iCs/>
              </w:rPr>
              <w:t>Behav</w:t>
            </w:r>
            <w:proofErr w:type="spellEnd"/>
            <w:r w:rsidRPr="00875992">
              <w:rPr>
                <w:rFonts w:eastAsiaTheme="minorEastAsia"/>
                <w:i/>
                <w:iCs/>
              </w:rPr>
              <w:t>.</w:t>
            </w:r>
            <w:r w:rsidRPr="00875992">
              <w:rPr>
                <w:rFonts w:eastAsiaTheme="minorEastAsia"/>
              </w:rPr>
              <w:t>).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Since activation of </w:t>
            </w:r>
            <w:proofErr w:type="spellStart"/>
            <w:r w:rsidRPr="00875992">
              <w:rPr>
                <w:rFonts w:eastAsiaTheme="minorEastAsia"/>
              </w:rPr>
              <w:t>mGluRs</w:t>
            </w:r>
            <w:proofErr w:type="spellEnd"/>
            <w:r w:rsidRPr="00875992">
              <w:rPr>
                <w:rFonts w:eastAsiaTheme="minorEastAsia"/>
              </w:rPr>
              <w:t xml:space="preserve"> does not only affect Purkinje cell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plasticity but also directly its firing rate (</w:t>
            </w:r>
            <w:proofErr w:type="spellStart"/>
            <w:r w:rsidRPr="00875992">
              <w:rPr>
                <w:rFonts w:eastAsiaTheme="minorEastAsia"/>
              </w:rPr>
              <w:t>Coesmans</w:t>
            </w:r>
            <w:proofErr w:type="spellEnd"/>
            <w:r w:rsidRPr="00875992">
              <w:rPr>
                <w:rFonts w:eastAsiaTheme="minorEastAsia"/>
              </w:rPr>
              <w:t xml:space="preserve"> et al., 2003,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  <w:i/>
                <w:iCs/>
              </w:rPr>
              <w:t>Ann of Neurol</w:t>
            </w:r>
            <w:r w:rsidRPr="00875992">
              <w:rPr>
                <w:rFonts w:eastAsiaTheme="minorEastAsia"/>
              </w:rPr>
              <w:t xml:space="preserve">.; </w:t>
            </w:r>
            <w:proofErr w:type="spellStart"/>
            <w:r w:rsidRPr="00875992">
              <w:rPr>
                <w:rFonts w:eastAsiaTheme="minorEastAsia"/>
              </w:rPr>
              <w:t>Gao</w:t>
            </w:r>
            <w:proofErr w:type="spellEnd"/>
            <w:r w:rsidRPr="00875992">
              <w:rPr>
                <w:rFonts w:eastAsiaTheme="minorEastAsia"/>
              </w:rPr>
              <w:t xml:space="preserve"> et al., 2012, </w:t>
            </w:r>
            <w:r w:rsidRPr="00875992">
              <w:rPr>
                <w:rFonts w:eastAsiaTheme="minorEastAsia"/>
                <w:i/>
                <w:iCs/>
              </w:rPr>
              <w:t>Nature Reviews</w:t>
            </w:r>
            <w:r w:rsidRPr="00875992">
              <w:rPr>
                <w:rFonts w:eastAsiaTheme="minorEastAsia"/>
              </w:rPr>
              <w:t>) and since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these firing patterns directly control behavior (De </w:t>
            </w:r>
            <w:proofErr w:type="spellStart"/>
            <w:r w:rsidRPr="00875992">
              <w:rPr>
                <w:rFonts w:eastAsiaTheme="minorEastAsia"/>
              </w:rPr>
              <w:t>Zeeuw</w:t>
            </w:r>
            <w:proofErr w:type="spellEnd"/>
            <w:r w:rsidRPr="00875992">
              <w:rPr>
                <w:rFonts w:eastAsiaTheme="minorEastAsia"/>
              </w:rPr>
              <w:t xml:space="preserve"> et al., 2011, </w:t>
            </w:r>
            <w:r w:rsidRPr="00875992">
              <w:rPr>
                <w:rFonts w:eastAsiaTheme="minorEastAsia"/>
                <w:i/>
                <w:iCs/>
              </w:rPr>
              <w:t>Nature Reviews</w:t>
            </w:r>
            <w:r w:rsidRPr="00875992">
              <w:rPr>
                <w:rFonts w:eastAsiaTheme="minorEastAsia"/>
              </w:rPr>
              <w:t>), it will be interesting to find out to what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extent </w:t>
            </w:r>
            <w:proofErr w:type="spellStart"/>
            <w:r w:rsidRPr="00875992">
              <w:rPr>
                <w:rFonts w:eastAsiaTheme="minorEastAsia"/>
              </w:rPr>
              <w:t>mGluR</w:t>
            </w:r>
            <w:proofErr w:type="spellEnd"/>
            <w:r w:rsidRPr="00875992">
              <w:rPr>
                <w:rFonts w:eastAsiaTheme="minorEastAsia"/>
              </w:rPr>
              <w:t>-modifying drugs can also rescue various autism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aspects in Neuroligin-3 knock-out mice. This is the long-term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goal of the current CSC proposal. Thus, we will investigate the</w:t>
            </w:r>
            <w:r>
              <w:rPr>
                <w:rFonts w:eastAsiaTheme="minorEastAsia"/>
              </w:rPr>
              <w:t xml:space="preserve"> 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neurodevelopment, cell physiological characteristics and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behavior of Neuroligin-3 knock-out mice before and after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treatment with </w:t>
            </w:r>
            <w:proofErr w:type="spellStart"/>
            <w:r w:rsidRPr="00875992">
              <w:rPr>
                <w:rFonts w:eastAsiaTheme="minorEastAsia"/>
              </w:rPr>
              <w:t>mGluR</w:t>
            </w:r>
            <w:proofErr w:type="spellEnd"/>
            <w:r w:rsidRPr="00875992">
              <w:rPr>
                <w:rFonts w:eastAsiaTheme="minorEastAsia"/>
              </w:rPr>
              <w:t>-modifying drugs similar to what we did in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fragile X mice. Moreover, these results will be compared to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rescues of other mouse models of autism such as Shank2 and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Tsc1 mutant mice (Tsai et al., 2012, </w:t>
            </w:r>
            <w:r w:rsidRPr="00875992">
              <w:rPr>
                <w:rFonts w:eastAsiaTheme="minorEastAsia"/>
                <w:i/>
                <w:iCs/>
              </w:rPr>
              <w:t>Nature</w:t>
            </w:r>
            <w:r w:rsidRPr="00875992">
              <w:rPr>
                <w:rFonts w:eastAsiaTheme="minorEastAsia"/>
              </w:rPr>
              <w:t>; Won et al., 2012,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  <w:i/>
                <w:iCs/>
              </w:rPr>
              <w:t>Nature</w:t>
            </w:r>
            <w:r w:rsidRPr="00875992">
              <w:rPr>
                <w:rFonts w:eastAsiaTheme="minorEastAsia"/>
              </w:rPr>
              <w:t>). Together, our key objectives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lastRenderedPageBreak/>
              <w:t>should elucidate to what</w:t>
            </w:r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 xml:space="preserve">extent the pathophysiology of </w:t>
            </w:r>
            <w:proofErr w:type="spellStart"/>
            <w:r w:rsidRPr="00875992">
              <w:rPr>
                <w:rFonts w:eastAsiaTheme="minorEastAsia"/>
              </w:rPr>
              <w:t>syndromic</w:t>
            </w:r>
            <w:proofErr w:type="spellEnd"/>
            <w:r w:rsidRPr="00875992">
              <w:rPr>
                <w:rFonts w:eastAsiaTheme="minorEastAsia"/>
              </w:rPr>
              <w:t xml:space="preserve"> and </w:t>
            </w:r>
            <w:proofErr w:type="spellStart"/>
            <w:r w:rsidRPr="00875992">
              <w:rPr>
                <w:rFonts w:eastAsiaTheme="minorEastAsia"/>
              </w:rPr>
              <w:t>nonsyndromic</w:t>
            </w:r>
            <w:proofErr w:type="spellEnd"/>
            <w:r>
              <w:rPr>
                <w:rFonts w:eastAsiaTheme="minorEastAsia"/>
              </w:rPr>
              <w:t xml:space="preserve"> </w:t>
            </w:r>
            <w:r w:rsidRPr="00875992">
              <w:rPr>
                <w:rFonts w:eastAsiaTheme="minorEastAsia"/>
              </w:rPr>
              <w:t>forms of cerebellar autism share common underlying</w:t>
            </w:r>
          </w:p>
          <w:p w:rsidR="00875992" w:rsidRDefault="00875992" w:rsidP="00875992">
            <w:pPr>
              <w:pStyle w:val="Default"/>
              <w:jc w:val="both"/>
              <w:rPr>
                <w:szCs w:val="18"/>
              </w:rPr>
            </w:pPr>
            <w:r w:rsidRPr="00875992">
              <w:rPr>
                <w:rFonts w:eastAsiaTheme="minorEastAsia"/>
              </w:rPr>
              <w:t xml:space="preserve">mechanisms </w:t>
            </w:r>
            <w:r>
              <w:rPr>
                <w:szCs w:val="18"/>
              </w:rPr>
              <w:t xml:space="preserve">mouse models enable us to unravel the molecular mechanisms of plasticity and transmission and to study the effects of </w:t>
            </w:r>
            <w:proofErr w:type="spellStart"/>
            <w:r>
              <w:rPr>
                <w:szCs w:val="18"/>
              </w:rPr>
              <w:t>channelopathies</w:t>
            </w:r>
            <w:proofErr w:type="spellEnd"/>
            <w:r>
              <w:rPr>
                <w:szCs w:val="18"/>
              </w:rPr>
              <w:t xml:space="preserve"> on the </w:t>
            </w:r>
            <w:proofErr w:type="spellStart"/>
            <w:r>
              <w:rPr>
                <w:szCs w:val="18"/>
              </w:rPr>
              <w:t>cerebello</w:t>
            </w:r>
            <w:proofErr w:type="spellEnd"/>
            <w:r>
              <w:rPr>
                <w:szCs w:val="18"/>
              </w:rPr>
              <w:t>-cerebral interaction.</w:t>
            </w:r>
          </w:p>
          <w:p w:rsidR="00A83E27" w:rsidRPr="00875992" w:rsidRDefault="00A83E27" w:rsidP="00875992">
            <w:pPr>
              <w:pStyle w:val="Default"/>
              <w:jc w:val="both"/>
              <w:rPr>
                <w:rFonts w:ascii="ArialMT" w:eastAsiaTheme="minorEastAsia" w:hAnsi="ArialMT" w:cs="ArialMT"/>
              </w:rPr>
            </w:pPr>
          </w:p>
        </w:tc>
      </w:tr>
      <w:tr w:rsidR="00875992" w:rsidTr="0032739F">
        <w:trPr>
          <w:trHeight w:val="98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Default="00875992" w:rsidP="0032739F">
            <w:pPr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lastRenderedPageBreak/>
              <w:t>Requirements of candidate: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Background: The student should have a background and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bachelor-master degrees in Biomedical Sciences, Molecular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 xml:space="preserve">Biology and/or </w:t>
            </w:r>
            <w:proofErr w:type="spellStart"/>
            <w:r w:rsidRPr="00875992">
              <w:rPr>
                <w:rFonts w:eastAsiaTheme="minorEastAsia"/>
              </w:rPr>
              <w:t>Neuro</w:t>
            </w:r>
            <w:proofErr w:type="spellEnd"/>
            <w:r w:rsidRPr="00875992">
              <w:rPr>
                <w:rFonts w:eastAsiaTheme="minorEastAsia"/>
              </w:rPr>
              <w:t>-Psychology. He/she should be interested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in the mechanisms underlying cerebellar function and autism.</w:t>
            </w: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The level in English reading, writing and speaking should be at</w:t>
            </w:r>
          </w:p>
          <w:p w:rsid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the highest possible standard.</w:t>
            </w:r>
          </w:p>
          <w:p w:rsidR="00A83E27" w:rsidRPr="00875992" w:rsidRDefault="00A83E27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75992" w:rsidRP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Bachelor &amp; Master degree: Yes, both degrees are required, but</w:t>
            </w:r>
          </w:p>
          <w:p w:rsidR="00875992" w:rsidRDefault="00875992" w:rsidP="00875992">
            <w:pPr>
              <w:rPr>
                <w:rFonts w:eastAsiaTheme="minorEastAsia"/>
              </w:rPr>
            </w:pPr>
            <w:r w:rsidRPr="00875992">
              <w:rPr>
                <w:rFonts w:eastAsiaTheme="minorEastAsia"/>
              </w:rPr>
              <w:t>they don’t need to be in the same field.</w:t>
            </w:r>
          </w:p>
          <w:p w:rsidR="00A83E27" w:rsidRDefault="00A83E27" w:rsidP="00875992">
            <w:pPr>
              <w:rPr>
                <w:rFonts w:eastAsiaTheme="minorEastAsia"/>
              </w:rPr>
            </w:pPr>
          </w:p>
          <w:p w:rsidR="00875992" w:rsidRDefault="00875992" w:rsidP="00875992">
            <w:r>
              <w:t>IELTS Grade: 7.0</w:t>
            </w:r>
            <w:r>
              <w:rPr>
                <w:i/>
                <w:color w:val="FF0000"/>
              </w:rPr>
              <w:t xml:space="preserve"> </w:t>
            </w:r>
            <w:r>
              <w:rPr>
                <w:i/>
              </w:rPr>
              <w:t xml:space="preserve">(minimal 6.0 per </w:t>
            </w:r>
            <w:proofErr w:type="spellStart"/>
            <w:r>
              <w:rPr>
                <w:i/>
              </w:rPr>
              <w:t>subscore</w:t>
            </w:r>
            <w:proofErr w:type="spellEnd"/>
            <w:r>
              <w:rPr>
                <w:i/>
              </w:rPr>
              <w:t>)</w:t>
            </w:r>
            <w:r>
              <w:t xml:space="preserve">:The higher the better. </w:t>
            </w:r>
            <w:r w:rsidRPr="00183752">
              <w:rPr>
                <w:sz w:val="20"/>
                <w:szCs w:val="20"/>
              </w:rPr>
              <w:t>or</w:t>
            </w:r>
          </w:p>
          <w:p w:rsidR="00875992" w:rsidRDefault="00875992" w:rsidP="0032739F">
            <w:r>
              <w:t xml:space="preserve">TOEFL: </w:t>
            </w:r>
            <w:r>
              <w:rPr>
                <w:i/>
              </w:rPr>
              <w:t xml:space="preserve">100 (minimal 20 per </w:t>
            </w:r>
            <w:proofErr w:type="spellStart"/>
            <w:r>
              <w:rPr>
                <w:i/>
              </w:rPr>
              <w:t>subscore</w:t>
            </w:r>
            <w:proofErr w:type="spellEnd"/>
            <w:r>
              <w:rPr>
                <w:i/>
              </w:rPr>
              <w:t>):</w:t>
            </w:r>
            <w:r>
              <w:t>The higher the better.</w:t>
            </w:r>
          </w:p>
        </w:tc>
      </w:tr>
      <w:tr w:rsidR="00875992" w:rsidTr="00875992">
        <w:trPr>
          <w:trHeight w:val="84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Default="00875992" w:rsidP="0032739F">
            <w:pPr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Supervisor information: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C.I. De </w:t>
            </w:r>
            <w:proofErr w:type="spellStart"/>
            <w:r w:rsidRPr="00A83E27">
              <w:rPr>
                <w:rFonts w:eastAsiaTheme="minorEastAsia"/>
                <w:color w:val="000000"/>
              </w:rPr>
              <w:t>Zeeuw</w:t>
            </w:r>
            <w:proofErr w:type="spellEnd"/>
            <w:r w:rsidRPr="00A83E27">
              <w:rPr>
                <w:rFonts w:eastAsiaTheme="minorEastAsia"/>
                <w:color w:val="000000"/>
              </w:rPr>
              <w:t>, Erasmus MC, Department of Neuroscience</w:t>
            </w:r>
          </w:p>
          <w:p w:rsidR="00CC1EDA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Dr. </w:t>
            </w:r>
            <w:proofErr w:type="spellStart"/>
            <w:r w:rsidRPr="00A83E27">
              <w:rPr>
                <w:rFonts w:eastAsiaTheme="minorEastAsia"/>
                <w:color w:val="000000"/>
              </w:rPr>
              <w:t>Molewaterplein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 50, 010 – 7043299, </w:t>
            </w:r>
          </w:p>
          <w:p w:rsidR="00875992" w:rsidRPr="00A83E27" w:rsidRDefault="00CC1EDA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 xml:space="preserve">Email: </w:t>
            </w:r>
            <w:bookmarkStart w:id="0" w:name="_GoBack"/>
            <w:bookmarkEnd w:id="0"/>
            <w:r>
              <w:fldChar w:fldCharType="begin"/>
            </w:r>
            <w:r>
              <w:instrText xml:space="preserve"> HYPERLINK "mailto:c.dezeeuw@erasmusmc.nl" </w:instrText>
            </w:r>
            <w:r>
              <w:fldChar w:fldCharType="separate"/>
            </w:r>
            <w:r w:rsidR="00AD6537" w:rsidRPr="00A83E27">
              <w:rPr>
                <w:rStyle w:val="Hyperlink"/>
                <w:rFonts w:eastAsiaTheme="minorEastAsia"/>
              </w:rPr>
              <w:t>c.dezeeuw@erasmusmc.nl</w:t>
            </w:r>
            <w:r>
              <w:rPr>
                <w:rStyle w:val="Hyperlink"/>
                <w:rFonts w:eastAsiaTheme="minorEastAsia"/>
              </w:rPr>
              <w:fldChar w:fldCharType="end"/>
            </w:r>
            <w:r w:rsidR="00875992" w:rsidRPr="00A83E27">
              <w:rPr>
                <w:rFonts w:eastAsiaTheme="minorEastAsia"/>
                <w:color w:val="000000"/>
              </w:rPr>
              <w:t xml:space="preserve"> 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337A2"/>
              </w:rPr>
            </w:pPr>
            <w:r w:rsidRPr="00A83E27">
              <w:rPr>
                <w:rFonts w:eastAsiaTheme="minorEastAsia"/>
                <w:color w:val="000000"/>
              </w:rPr>
              <w:t xml:space="preserve">General website: </w:t>
            </w:r>
            <w:r w:rsidRPr="00A83E27">
              <w:rPr>
                <w:rFonts w:eastAsiaTheme="minorEastAsia"/>
                <w:color w:val="0337A2"/>
              </w:rPr>
              <w:t>http://www.neuro.nl</w:t>
            </w:r>
          </w:p>
          <w:p w:rsidR="00875992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337A2"/>
              </w:rPr>
            </w:pPr>
            <w:r w:rsidRPr="00A83E27">
              <w:rPr>
                <w:rFonts w:eastAsiaTheme="minorEastAsia"/>
                <w:color w:val="000000"/>
              </w:rPr>
              <w:t xml:space="preserve">Personal website: </w:t>
            </w:r>
            <w:hyperlink r:id="rId5" w:history="1">
              <w:r w:rsidR="00A83E27" w:rsidRPr="004E6A11">
                <w:rPr>
                  <w:rStyle w:val="Hyperlink"/>
                  <w:rFonts w:eastAsiaTheme="minorEastAsia"/>
                </w:rPr>
                <w:t>http://beta.neuro.nl/research/dezeeuw/</w:t>
              </w:r>
            </w:hyperlink>
          </w:p>
          <w:p w:rsidR="00A83E27" w:rsidRPr="00A83E27" w:rsidRDefault="00A83E27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337A2"/>
              </w:rPr>
            </w:pP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i/>
                <w:iCs/>
                <w:color w:val="000000"/>
              </w:rPr>
            </w:pPr>
            <w:r w:rsidRPr="00A83E27">
              <w:rPr>
                <w:rFonts w:eastAsiaTheme="minorEastAsia"/>
                <w:i/>
                <w:iCs/>
                <w:color w:val="000000"/>
              </w:rPr>
              <w:t xml:space="preserve">References related to topic (complete list: C.I. De </w:t>
            </w:r>
            <w:proofErr w:type="spellStart"/>
            <w:r w:rsidRPr="00A83E27">
              <w:rPr>
                <w:rFonts w:eastAsiaTheme="minorEastAsia"/>
                <w:i/>
                <w:iCs/>
                <w:color w:val="000000"/>
              </w:rPr>
              <w:t>Zeeuw</w:t>
            </w:r>
            <w:proofErr w:type="spellEnd"/>
            <w:r w:rsidRPr="00A83E27">
              <w:rPr>
                <w:rFonts w:eastAsiaTheme="minorEastAsia"/>
                <w:i/>
                <w:iCs/>
                <w:color w:val="000000"/>
              </w:rPr>
              <w:t xml:space="preserve"> at PubMed)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val="nl-NL"/>
              </w:rPr>
            </w:pPr>
            <w:r w:rsidRPr="00A83E27">
              <w:rPr>
                <w:rFonts w:eastAsiaTheme="minorEastAsia"/>
                <w:color w:val="000000"/>
                <w:lang w:val="nl-NL"/>
              </w:rPr>
              <w:t xml:space="preserve">-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Sillevis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Smitt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P., A.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Kinoshita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B. De Leeuw, W. Moll, D.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Jaarsma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>, S.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val="nl-NL"/>
              </w:rPr>
            </w:pP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Henzen-Logmans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C.I. Vecht, C.I. De Zeeuw, M.P.H.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Coesmans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>, N.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proofErr w:type="spellStart"/>
            <w:r w:rsidRPr="00A83E27">
              <w:rPr>
                <w:rFonts w:eastAsiaTheme="minorEastAsia"/>
                <w:color w:val="000000"/>
              </w:rPr>
              <w:t>Sekiyama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, S. Nakanishi, and R. </w:t>
            </w:r>
            <w:proofErr w:type="spellStart"/>
            <w:r w:rsidRPr="00A83E27">
              <w:rPr>
                <w:rFonts w:eastAsiaTheme="minorEastAsia"/>
                <w:color w:val="000000"/>
              </w:rPr>
              <w:t>Shigemoto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 (2000) Passive transfer of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>mGluR1-blocking autoantibodies in Hodgkin's disease causes cerebellar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ataxia. </w:t>
            </w:r>
            <w:r w:rsidRPr="00A83E27">
              <w:rPr>
                <w:rFonts w:eastAsiaTheme="minorEastAsia"/>
                <w:i/>
                <w:iCs/>
                <w:color w:val="000000"/>
              </w:rPr>
              <w:t xml:space="preserve">The New </w:t>
            </w:r>
            <w:r w:rsidRPr="00A83E27">
              <w:rPr>
                <w:rFonts w:eastAsiaTheme="minorEastAsia"/>
                <w:b/>
                <w:bCs/>
                <w:i/>
                <w:iCs/>
                <w:color w:val="000000"/>
              </w:rPr>
              <w:t>England Journal of Medicine</w:t>
            </w:r>
            <w:r w:rsidRPr="00A83E27">
              <w:rPr>
                <w:rFonts w:eastAsiaTheme="minorEastAsia"/>
                <w:b/>
                <w:bCs/>
                <w:color w:val="000000"/>
              </w:rPr>
              <w:t xml:space="preserve">, </w:t>
            </w:r>
            <w:r w:rsidRPr="00A83E27">
              <w:rPr>
                <w:rFonts w:eastAsiaTheme="minorEastAsia"/>
                <w:color w:val="000000"/>
              </w:rPr>
              <w:t>Volume 342(1):21-27.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- </w:t>
            </w:r>
            <w:proofErr w:type="spellStart"/>
            <w:r w:rsidRPr="00A83E27">
              <w:rPr>
                <w:rFonts w:eastAsiaTheme="minorEastAsia"/>
                <w:color w:val="000000"/>
              </w:rPr>
              <w:t>Coesmans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 M., P.A. </w:t>
            </w:r>
            <w:proofErr w:type="spellStart"/>
            <w:r w:rsidRPr="00A83E27">
              <w:rPr>
                <w:rFonts w:eastAsiaTheme="minorEastAsia"/>
                <w:color w:val="000000"/>
              </w:rPr>
              <w:t>Sillevis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Pr="00A83E27">
              <w:rPr>
                <w:rFonts w:eastAsiaTheme="minorEastAsia"/>
                <w:color w:val="000000"/>
              </w:rPr>
              <w:t>Smitt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, D.J. Linden, R. </w:t>
            </w:r>
            <w:proofErr w:type="spellStart"/>
            <w:r w:rsidRPr="00A83E27">
              <w:rPr>
                <w:rFonts w:eastAsiaTheme="minorEastAsia"/>
                <w:color w:val="000000"/>
              </w:rPr>
              <w:t>Shigemoto</w:t>
            </w:r>
            <w:proofErr w:type="spellEnd"/>
            <w:r w:rsidRPr="00A83E27">
              <w:rPr>
                <w:rFonts w:eastAsiaTheme="minorEastAsia"/>
                <w:color w:val="000000"/>
              </w:rPr>
              <w:t>, T. Hirano,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val="nl-NL"/>
              </w:rPr>
            </w:pPr>
            <w:r w:rsidRPr="00A83E27">
              <w:rPr>
                <w:rFonts w:eastAsiaTheme="minorEastAsia"/>
                <w:color w:val="000000"/>
                <w:lang w:val="nl-NL"/>
              </w:rPr>
              <w:t xml:space="preserve">Y.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Yamakawa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A.M. van Alphen, C.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Luo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J.N. van der Geest, J.M.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Kros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>,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C.A. Gaillard, M.A. </w:t>
            </w:r>
            <w:proofErr w:type="spellStart"/>
            <w:r w:rsidRPr="00A83E27">
              <w:rPr>
                <w:rFonts w:eastAsiaTheme="minorEastAsia"/>
                <w:color w:val="000000"/>
              </w:rPr>
              <w:t>Frens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, and C.I. De </w:t>
            </w:r>
            <w:proofErr w:type="spellStart"/>
            <w:r w:rsidRPr="00A83E27">
              <w:rPr>
                <w:rFonts w:eastAsiaTheme="minorEastAsia"/>
                <w:color w:val="000000"/>
              </w:rPr>
              <w:t>Zeeuw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 (2003) Mechanisms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>underlying deficits in cerebellar motor coordination due to auto-antibodies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against mGluR1. </w:t>
            </w:r>
            <w:r w:rsidRPr="00A83E27">
              <w:rPr>
                <w:rFonts w:eastAsiaTheme="minorEastAsia"/>
                <w:b/>
                <w:bCs/>
                <w:i/>
                <w:iCs/>
                <w:color w:val="000000"/>
              </w:rPr>
              <w:t xml:space="preserve">Ann. of Neurol., </w:t>
            </w:r>
            <w:r w:rsidRPr="00A83E27">
              <w:rPr>
                <w:rFonts w:eastAsiaTheme="minorEastAsia"/>
                <w:color w:val="000000"/>
              </w:rPr>
              <w:t>53:325-336.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val="nl-NL"/>
              </w:rPr>
            </w:pPr>
            <w:r w:rsidRPr="00A83E27">
              <w:rPr>
                <w:rFonts w:eastAsiaTheme="minorEastAsia"/>
                <w:color w:val="000000"/>
                <w:lang w:val="nl-NL"/>
              </w:rPr>
              <w:t xml:space="preserve">- Feil, R., J.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Hartmann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C.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Luo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W.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Wolfsgruber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>, K. Schilling, S. Feil, J.J.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val="nl-NL"/>
              </w:rPr>
            </w:pP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Barski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M. Meyer, A.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Konnerth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, C.I. De Zeeuw,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and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 F. </w:t>
            </w:r>
            <w:proofErr w:type="spellStart"/>
            <w:r w:rsidRPr="00A83E27">
              <w:rPr>
                <w:rFonts w:eastAsiaTheme="minorEastAsia"/>
                <w:color w:val="000000"/>
                <w:lang w:val="nl-NL"/>
              </w:rPr>
              <w:t>Hofmann</w:t>
            </w:r>
            <w:proofErr w:type="spellEnd"/>
            <w:r w:rsidRPr="00A83E27">
              <w:rPr>
                <w:rFonts w:eastAsiaTheme="minorEastAsia"/>
                <w:color w:val="000000"/>
                <w:lang w:val="nl-NL"/>
              </w:rPr>
              <w:t xml:space="preserve"> (2003)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>Impairment of LTD and cerebellar learning by Purkinje cell-specific ablation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of </w:t>
            </w:r>
            <w:proofErr w:type="spellStart"/>
            <w:r w:rsidRPr="00A83E27">
              <w:rPr>
                <w:rFonts w:eastAsiaTheme="minorEastAsia"/>
                <w:color w:val="000000"/>
              </w:rPr>
              <w:t>cGMP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-dependent protein kinase I. </w:t>
            </w:r>
            <w:r w:rsidRPr="00A83E27">
              <w:rPr>
                <w:rFonts w:eastAsiaTheme="minorEastAsia"/>
                <w:b/>
                <w:bCs/>
                <w:i/>
                <w:iCs/>
                <w:color w:val="000000"/>
              </w:rPr>
              <w:t xml:space="preserve">J. Cell Biol., </w:t>
            </w:r>
            <w:r w:rsidRPr="00A83E27">
              <w:rPr>
                <w:rFonts w:eastAsiaTheme="minorEastAsia"/>
                <w:color w:val="000000"/>
              </w:rPr>
              <w:t>163:295-302.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- </w:t>
            </w:r>
            <w:proofErr w:type="spellStart"/>
            <w:r w:rsidRPr="00A83E27">
              <w:rPr>
                <w:rFonts w:eastAsiaTheme="minorEastAsia"/>
                <w:color w:val="000000"/>
              </w:rPr>
              <w:t>Koekkoek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, S.K.E., H.C. </w:t>
            </w:r>
            <w:proofErr w:type="spellStart"/>
            <w:r w:rsidRPr="00A83E27">
              <w:rPr>
                <w:rFonts w:eastAsiaTheme="minorEastAsia"/>
                <w:color w:val="000000"/>
              </w:rPr>
              <w:t>Hulscher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, B.R. </w:t>
            </w:r>
            <w:proofErr w:type="spellStart"/>
            <w:r w:rsidRPr="00A83E27">
              <w:rPr>
                <w:rFonts w:eastAsiaTheme="minorEastAsia"/>
                <w:color w:val="000000"/>
              </w:rPr>
              <w:t>Dortland</w:t>
            </w:r>
            <w:proofErr w:type="spellEnd"/>
            <w:r w:rsidRPr="00A83E27">
              <w:rPr>
                <w:rFonts w:eastAsiaTheme="minorEastAsia"/>
                <w:color w:val="000000"/>
              </w:rPr>
              <w:t xml:space="preserve">, R. </w:t>
            </w:r>
            <w:proofErr w:type="spellStart"/>
            <w:r w:rsidRPr="00A83E27">
              <w:rPr>
                <w:rFonts w:eastAsiaTheme="minorEastAsia"/>
                <w:color w:val="000000"/>
              </w:rPr>
              <w:t>Hensbroek</w:t>
            </w:r>
            <w:proofErr w:type="spellEnd"/>
            <w:r w:rsidRPr="00A83E27">
              <w:rPr>
                <w:rFonts w:eastAsiaTheme="minorEastAsia"/>
                <w:color w:val="000000"/>
              </w:rPr>
              <w:t>, Y.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lastRenderedPageBreak/>
              <w:t>Elgersma, T.J.H. Ruigrok, and C.I. De Zeeuw (2003) Cerebellar LTD and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i/>
                <w:iCs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 xml:space="preserve">Learning-Dependent Timing of Conditioned Eyelid Responses. </w:t>
            </w:r>
            <w:r w:rsidRPr="00A83E27">
              <w:rPr>
                <w:rFonts w:eastAsiaTheme="minorEastAsia"/>
                <w:b/>
                <w:bCs/>
                <w:i/>
                <w:iCs/>
                <w:color w:val="000000"/>
              </w:rPr>
              <w:t>Science,</w:t>
            </w:r>
          </w:p>
          <w:p w:rsidR="00875992" w:rsidRPr="00A83E27" w:rsidRDefault="00875992" w:rsidP="00875992">
            <w:pPr>
              <w:rPr>
                <w:rFonts w:eastAsiaTheme="minorEastAsia"/>
                <w:color w:val="000000"/>
              </w:rPr>
            </w:pPr>
            <w:r w:rsidRPr="00A83E27">
              <w:rPr>
                <w:rFonts w:eastAsiaTheme="minorEastAsia"/>
                <w:color w:val="000000"/>
              </w:rPr>
              <w:t>301:1736-9.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>- Coesmans, M., J.T. Weber, C.I. De Zeeuw, and C. Hansel (2004)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>Bidirectional parallel fiber plasticity in the cerebellum under climbing fiber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 xml:space="preserve">control. </w:t>
            </w:r>
            <w:r w:rsidRPr="00A83E27">
              <w:rPr>
                <w:rFonts w:eastAsiaTheme="minorEastAsia"/>
                <w:b/>
                <w:bCs/>
                <w:i/>
                <w:iCs/>
              </w:rPr>
              <w:t xml:space="preserve">Neuron, </w:t>
            </w:r>
            <w:r w:rsidRPr="00A83E27">
              <w:rPr>
                <w:rFonts w:eastAsiaTheme="minorEastAsia"/>
              </w:rPr>
              <w:t>44:691-700.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 xml:space="preserve">- </w:t>
            </w:r>
            <w:proofErr w:type="spellStart"/>
            <w:r w:rsidRPr="00A83E27">
              <w:rPr>
                <w:rFonts w:eastAsiaTheme="minorEastAsia"/>
              </w:rPr>
              <w:t>Koekkoek</w:t>
            </w:r>
            <w:proofErr w:type="spellEnd"/>
            <w:r w:rsidRPr="00A83E27">
              <w:rPr>
                <w:rFonts w:eastAsiaTheme="minorEastAsia"/>
              </w:rPr>
              <w:t xml:space="preserve">, S.K., K. Yamaguchi, B.A. </w:t>
            </w:r>
            <w:proofErr w:type="spellStart"/>
            <w:r w:rsidRPr="00A83E27">
              <w:rPr>
                <w:rFonts w:eastAsiaTheme="minorEastAsia"/>
              </w:rPr>
              <w:t>Milojkovic</w:t>
            </w:r>
            <w:proofErr w:type="spellEnd"/>
            <w:r w:rsidRPr="00A83E27">
              <w:rPr>
                <w:rFonts w:eastAsiaTheme="minorEastAsia"/>
              </w:rPr>
              <w:t xml:space="preserve">, B.R. </w:t>
            </w:r>
            <w:proofErr w:type="spellStart"/>
            <w:r w:rsidRPr="00A83E27">
              <w:rPr>
                <w:rFonts w:eastAsiaTheme="minorEastAsia"/>
              </w:rPr>
              <w:t>Dortland</w:t>
            </w:r>
            <w:proofErr w:type="spellEnd"/>
            <w:r w:rsidRPr="00A83E27">
              <w:rPr>
                <w:rFonts w:eastAsiaTheme="minorEastAsia"/>
              </w:rPr>
              <w:t>, T.J.H.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lang w:val="nl-NL"/>
              </w:rPr>
            </w:pPr>
            <w:proofErr w:type="spellStart"/>
            <w:r w:rsidRPr="00A83E27">
              <w:rPr>
                <w:rFonts w:eastAsiaTheme="minorEastAsia"/>
                <w:lang w:val="nl-NL"/>
              </w:rPr>
              <w:t>Ruigrok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, R. </w:t>
            </w:r>
            <w:proofErr w:type="spellStart"/>
            <w:r w:rsidRPr="00A83E27">
              <w:rPr>
                <w:rFonts w:eastAsiaTheme="minorEastAsia"/>
                <w:lang w:val="nl-NL"/>
              </w:rPr>
              <w:t>Maex</w:t>
            </w:r>
            <w:proofErr w:type="spellEnd"/>
            <w:r w:rsidRPr="00A83E27">
              <w:rPr>
                <w:rFonts w:eastAsiaTheme="minorEastAsia"/>
                <w:lang w:val="nl-NL"/>
              </w:rPr>
              <w:t>, M. Vellema, A.E. Smit, F. van der Werf, C.E. Bakker, R.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lang w:val="nl-NL"/>
              </w:rPr>
            </w:pPr>
            <w:r w:rsidRPr="00A83E27">
              <w:rPr>
                <w:rFonts w:eastAsiaTheme="minorEastAsia"/>
                <w:lang w:val="nl-NL"/>
              </w:rPr>
              <w:t xml:space="preserve">Willemsen, T. </w:t>
            </w:r>
            <w:proofErr w:type="spellStart"/>
            <w:r w:rsidRPr="00A83E27">
              <w:rPr>
                <w:rFonts w:eastAsiaTheme="minorEastAsia"/>
                <w:lang w:val="nl-NL"/>
              </w:rPr>
              <w:t>Ikeda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, S. </w:t>
            </w:r>
            <w:proofErr w:type="spellStart"/>
            <w:r w:rsidRPr="00A83E27">
              <w:rPr>
                <w:rFonts w:eastAsiaTheme="minorEastAsia"/>
                <w:lang w:val="nl-NL"/>
              </w:rPr>
              <w:t>Kakizawa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, K. </w:t>
            </w:r>
            <w:proofErr w:type="spellStart"/>
            <w:r w:rsidRPr="00A83E27">
              <w:rPr>
                <w:rFonts w:eastAsiaTheme="minorEastAsia"/>
                <w:lang w:val="nl-NL"/>
              </w:rPr>
              <w:t>Onodera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, D.L. Nelson, E. </w:t>
            </w:r>
            <w:proofErr w:type="spellStart"/>
            <w:r w:rsidRPr="00A83E27">
              <w:rPr>
                <w:rFonts w:eastAsiaTheme="minorEastAsia"/>
                <w:lang w:val="nl-NL"/>
              </w:rPr>
              <w:t>Mientjes</w:t>
            </w:r>
            <w:proofErr w:type="spellEnd"/>
            <w:r w:rsidRPr="00A83E27">
              <w:rPr>
                <w:rFonts w:eastAsiaTheme="minorEastAsia"/>
                <w:lang w:val="nl-NL"/>
              </w:rPr>
              <w:t>, M.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lang w:val="nl-NL"/>
              </w:rPr>
            </w:pPr>
            <w:r w:rsidRPr="00A83E27">
              <w:rPr>
                <w:rFonts w:eastAsiaTheme="minorEastAsia"/>
                <w:lang w:val="nl-NL"/>
              </w:rPr>
              <w:t xml:space="preserve">Joosten, E. De Schutter, B.A. </w:t>
            </w:r>
            <w:proofErr w:type="spellStart"/>
            <w:r w:rsidRPr="00A83E27">
              <w:rPr>
                <w:rFonts w:eastAsiaTheme="minorEastAsia"/>
                <w:lang w:val="nl-NL"/>
              </w:rPr>
              <w:t>Oostra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, M. Ito </w:t>
            </w:r>
            <w:proofErr w:type="spellStart"/>
            <w:r w:rsidRPr="00A83E27">
              <w:rPr>
                <w:rFonts w:eastAsiaTheme="minorEastAsia"/>
                <w:lang w:val="nl-NL"/>
              </w:rPr>
              <w:t>and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C.I. De Zeeuw (2005)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>Deletion of FMR1 in Purkinje cells enhances parallel fiber LTD, enlarges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 xml:space="preserve">spines, and attenuates eyelid conditioning in a manner which </w:t>
            </w:r>
            <w:proofErr w:type="spellStart"/>
            <w:r w:rsidRPr="00A83E27">
              <w:rPr>
                <w:rFonts w:eastAsiaTheme="minorEastAsia"/>
              </w:rPr>
              <w:t>phenocopies</w:t>
            </w:r>
            <w:proofErr w:type="spellEnd"/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 xml:space="preserve">human Fragile X syndrome. </w:t>
            </w:r>
            <w:r w:rsidRPr="00A83E27">
              <w:rPr>
                <w:rFonts w:eastAsiaTheme="minorEastAsia"/>
                <w:b/>
                <w:bCs/>
                <w:i/>
                <w:iCs/>
              </w:rPr>
              <w:t>Neuron</w:t>
            </w:r>
            <w:r w:rsidRPr="00A83E27">
              <w:rPr>
                <w:rFonts w:eastAsiaTheme="minorEastAsia"/>
              </w:rPr>
              <w:t>, 47:339-352.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lang w:val="nl-NL"/>
              </w:rPr>
            </w:pPr>
            <w:r w:rsidRPr="00A83E27">
              <w:rPr>
                <w:rFonts w:eastAsiaTheme="minorEastAsia"/>
                <w:lang w:val="nl-NL"/>
              </w:rPr>
              <w:t xml:space="preserve">- Schonewille M, </w:t>
            </w:r>
            <w:proofErr w:type="spellStart"/>
            <w:r w:rsidRPr="00A83E27">
              <w:rPr>
                <w:rFonts w:eastAsiaTheme="minorEastAsia"/>
                <w:lang w:val="nl-NL"/>
              </w:rPr>
              <w:t>Khosrovani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S, Winkelman B, </w:t>
            </w:r>
            <w:proofErr w:type="spellStart"/>
            <w:r w:rsidRPr="00A83E27">
              <w:rPr>
                <w:rFonts w:eastAsiaTheme="minorEastAsia"/>
                <w:lang w:val="nl-NL"/>
              </w:rPr>
              <w:t>Hoebeek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FE, De Jeu MTG,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  <w:lang w:val="nl-NL"/>
              </w:rPr>
              <w:t xml:space="preserve">Larsen IM, </w:t>
            </w:r>
            <w:proofErr w:type="spellStart"/>
            <w:r w:rsidRPr="00A83E27">
              <w:rPr>
                <w:rFonts w:eastAsiaTheme="minorEastAsia"/>
                <w:lang w:val="nl-NL"/>
              </w:rPr>
              <w:t>Schmolesky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MT, Frens MA, </w:t>
            </w:r>
            <w:proofErr w:type="spellStart"/>
            <w:r w:rsidRPr="00A83E27">
              <w:rPr>
                <w:rFonts w:eastAsiaTheme="minorEastAsia"/>
                <w:lang w:val="nl-NL"/>
              </w:rPr>
              <w:t>and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De Zeeuw CI (2006). </w:t>
            </w:r>
            <w:r w:rsidRPr="00A83E27">
              <w:rPr>
                <w:rFonts w:eastAsiaTheme="minorEastAsia"/>
              </w:rPr>
              <w:t>Purkinje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>Cells in Awake Behaving Animals Operate in Stable Upstate Membrane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i/>
                <w:iCs/>
              </w:rPr>
            </w:pPr>
            <w:r w:rsidRPr="00A83E27">
              <w:rPr>
                <w:rFonts w:eastAsiaTheme="minorEastAsia"/>
              </w:rPr>
              <w:t xml:space="preserve">Potential. </w:t>
            </w:r>
            <w:r w:rsidRPr="00A83E27">
              <w:rPr>
                <w:rFonts w:eastAsiaTheme="minorEastAsia"/>
                <w:b/>
                <w:bCs/>
                <w:i/>
                <w:iCs/>
              </w:rPr>
              <w:t>Nature Neuroscience</w:t>
            </w:r>
            <w:r w:rsidRPr="00A83E27">
              <w:rPr>
                <w:rFonts w:eastAsiaTheme="minorEastAsia"/>
              </w:rPr>
              <w:t>, 9:459-461</w:t>
            </w:r>
            <w:r w:rsidRPr="00A83E27">
              <w:rPr>
                <w:rFonts w:eastAsiaTheme="minorEastAsia"/>
                <w:i/>
                <w:iCs/>
              </w:rPr>
              <w:t>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83E27">
              <w:rPr>
                <w:rFonts w:eastAsiaTheme="minorEastAsia"/>
              </w:rPr>
              <w:t xml:space="preserve">- Christian Hansel, Marcel T. De </w:t>
            </w:r>
            <w:proofErr w:type="spellStart"/>
            <w:r w:rsidRPr="00A83E27">
              <w:rPr>
                <w:rFonts w:eastAsiaTheme="minorEastAsia"/>
              </w:rPr>
              <w:t>Jeu</w:t>
            </w:r>
            <w:proofErr w:type="spellEnd"/>
            <w:r w:rsidRPr="00A83E27">
              <w:rPr>
                <w:rFonts w:eastAsiaTheme="minorEastAsia"/>
              </w:rPr>
              <w:t xml:space="preserve">, Amor </w:t>
            </w:r>
            <w:proofErr w:type="spellStart"/>
            <w:r w:rsidRPr="00A83E27">
              <w:rPr>
                <w:rFonts w:eastAsiaTheme="minorEastAsia"/>
              </w:rPr>
              <w:t>Belmeguenai</w:t>
            </w:r>
            <w:proofErr w:type="spellEnd"/>
            <w:r w:rsidRPr="00A83E27">
              <w:rPr>
                <w:rFonts w:eastAsiaTheme="minorEastAsia"/>
              </w:rPr>
              <w:t>, Simone H.</w:t>
            </w:r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  <w:lang w:val="nl-NL"/>
              </w:rPr>
            </w:pPr>
            <w:proofErr w:type="spellStart"/>
            <w:r w:rsidRPr="00A83E27">
              <w:rPr>
                <w:rFonts w:eastAsiaTheme="minorEastAsia"/>
                <w:lang w:val="nl-NL"/>
              </w:rPr>
              <w:t>Houtman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, </w:t>
            </w:r>
            <w:proofErr w:type="spellStart"/>
            <w:r w:rsidRPr="00A83E27">
              <w:rPr>
                <w:rFonts w:eastAsiaTheme="minorEastAsia"/>
                <w:lang w:val="nl-NL"/>
              </w:rPr>
              <w:t>Gabriëlle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Buitendijk, </w:t>
            </w:r>
            <w:proofErr w:type="spellStart"/>
            <w:r w:rsidRPr="00A83E27">
              <w:rPr>
                <w:rFonts w:eastAsiaTheme="minorEastAsia"/>
                <w:lang w:val="nl-NL"/>
              </w:rPr>
              <w:t>Dmitri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</w:t>
            </w:r>
            <w:proofErr w:type="spellStart"/>
            <w:r w:rsidRPr="00A83E27">
              <w:rPr>
                <w:rFonts w:eastAsiaTheme="minorEastAsia"/>
                <w:lang w:val="nl-NL"/>
              </w:rPr>
              <w:t>Andreev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, Chris I. De Zeeuw </w:t>
            </w:r>
            <w:proofErr w:type="spellStart"/>
            <w:r w:rsidRPr="00A83E27">
              <w:rPr>
                <w:rFonts w:eastAsiaTheme="minorEastAsia"/>
                <w:lang w:val="nl-NL"/>
              </w:rPr>
              <w:t>and</w:t>
            </w:r>
            <w:proofErr w:type="spellEnd"/>
            <w:r w:rsidRPr="00A83E27">
              <w:rPr>
                <w:rFonts w:eastAsiaTheme="minorEastAsia"/>
                <w:lang w:val="nl-NL"/>
              </w:rPr>
              <w:t xml:space="preserve"> </w:t>
            </w:r>
            <w:proofErr w:type="spellStart"/>
            <w:r w:rsidRPr="00A83E27">
              <w:rPr>
                <w:rFonts w:eastAsiaTheme="minorEastAsia"/>
                <w:lang w:val="nl-NL"/>
              </w:rPr>
              <w:t>Ype</w:t>
            </w:r>
            <w:proofErr w:type="spellEnd"/>
          </w:p>
          <w:p w:rsidR="00875992" w:rsidRPr="00A83E27" w:rsidRDefault="00875992" w:rsidP="0087599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A83E27">
              <w:rPr>
                <w:rFonts w:eastAsiaTheme="minorEastAsia"/>
              </w:rPr>
              <w:t>Elgersma</w:t>
            </w:r>
            <w:proofErr w:type="spellEnd"/>
            <w:r w:rsidRPr="00A83E27">
              <w:rPr>
                <w:rFonts w:eastAsiaTheme="minorEastAsia"/>
              </w:rPr>
              <w:t xml:space="preserve"> (2006) </w:t>
            </w:r>
            <w:r w:rsidRPr="00A83E27">
              <w:rPr>
                <w:rFonts w:eastAsiaTheme="minorEastAsia"/>
                <w:lang w:val="nl-NL"/>
              </w:rPr>
              <w:t>α</w:t>
            </w:r>
            <w:proofErr w:type="spellStart"/>
            <w:r w:rsidRPr="00A83E27">
              <w:rPr>
                <w:rFonts w:eastAsiaTheme="minorEastAsia"/>
              </w:rPr>
              <w:t>CaMKII</w:t>
            </w:r>
            <w:proofErr w:type="spellEnd"/>
            <w:r w:rsidRPr="00A83E27">
              <w:rPr>
                <w:rFonts w:eastAsiaTheme="minorEastAsia"/>
              </w:rPr>
              <w:t xml:space="preserve"> is essential for cerebellar LTD and motor learning.</w:t>
            </w:r>
          </w:p>
          <w:p w:rsidR="00875992" w:rsidRDefault="00875992" w:rsidP="00875992">
            <w:r w:rsidRPr="00A83E27">
              <w:rPr>
                <w:rFonts w:eastAsiaTheme="minorEastAsia"/>
                <w:b/>
                <w:bCs/>
                <w:i/>
                <w:iCs/>
                <w:lang w:val="nl-NL"/>
              </w:rPr>
              <w:t>Neuron</w:t>
            </w:r>
            <w:r w:rsidRPr="00A83E27">
              <w:rPr>
                <w:rFonts w:eastAsiaTheme="minorEastAsia"/>
                <w:i/>
                <w:iCs/>
                <w:lang w:val="nl-NL"/>
              </w:rPr>
              <w:t xml:space="preserve">, </w:t>
            </w:r>
            <w:r w:rsidRPr="00A83E27">
              <w:rPr>
                <w:rFonts w:eastAsiaTheme="minorEastAsia"/>
                <w:lang w:val="nl-NL"/>
              </w:rPr>
              <w:t>51(6):835-43.</w:t>
            </w:r>
          </w:p>
        </w:tc>
      </w:tr>
    </w:tbl>
    <w:p w:rsidR="00FA74D2" w:rsidRPr="00875992" w:rsidRDefault="00FA74D2" w:rsidP="00875992"/>
    <w:sectPr w:rsidR="00FA74D2" w:rsidRPr="00875992" w:rsidSect="00875992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5D"/>
    <w:rsid w:val="00875992"/>
    <w:rsid w:val="00A83E27"/>
    <w:rsid w:val="00AD6537"/>
    <w:rsid w:val="00BC565D"/>
    <w:rsid w:val="00CC1EDA"/>
    <w:rsid w:val="00FA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99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759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59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5992"/>
    <w:rPr>
      <w:rFonts w:ascii="Arial" w:eastAsia="SimSu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75992"/>
    <w:rPr>
      <w:rFonts w:ascii="Arial" w:eastAsia="SimSun" w:hAnsi="Arial" w:cs="Arial"/>
      <w:b/>
      <w:bCs/>
      <w:i/>
      <w:iCs/>
      <w:sz w:val="28"/>
      <w:szCs w:val="28"/>
      <w:lang w:val="en-US"/>
    </w:rPr>
  </w:style>
  <w:style w:type="character" w:customStyle="1" w:styleId="SubtitleChar">
    <w:name w:val="Subtitle Char"/>
    <w:link w:val="Subtitle"/>
    <w:rsid w:val="00875992"/>
    <w:rPr>
      <w:rFonts w:ascii="Cambria" w:eastAsia="Times New Roman" w:hAnsi="Cambria" w:cs="Times New Roman"/>
      <w:sz w:val="24"/>
      <w:szCs w:val="24"/>
      <w:lang w:val="en-US"/>
    </w:rPr>
  </w:style>
  <w:style w:type="character" w:styleId="Hyperlink">
    <w:name w:val="Hyperlink"/>
    <w:rsid w:val="00875992"/>
    <w:rPr>
      <w:color w:val="0000FF"/>
      <w:u w:val="single"/>
    </w:rPr>
  </w:style>
  <w:style w:type="paragraph" w:customStyle="1" w:styleId="Default">
    <w:name w:val="Default"/>
    <w:rsid w:val="008759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87599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1">
    <w:name w:val="Subtitle Char1"/>
    <w:basedOn w:val="DefaultParagraphFont"/>
    <w:uiPriority w:val="11"/>
    <w:rsid w:val="008759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99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759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59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5992"/>
    <w:rPr>
      <w:rFonts w:ascii="Arial" w:eastAsia="SimSu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75992"/>
    <w:rPr>
      <w:rFonts w:ascii="Arial" w:eastAsia="SimSun" w:hAnsi="Arial" w:cs="Arial"/>
      <w:b/>
      <w:bCs/>
      <w:i/>
      <w:iCs/>
      <w:sz w:val="28"/>
      <w:szCs w:val="28"/>
      <w:lang w:val="en-US"/>
    </w:rPr>
  </w:style>
  <w:style w:type="character" w:customStyle="1" w:styleId="SubtitleChar">
    <w:name w:val="Subtitle Char"/>
    <w:link w:val="Subtitle"/>
    <w:rsid w:val="00875992"/>
    <w:rPr>
      <w:rFonts w:ascii="Cambria" w:eastAsia="Times New Roman" w:hAnsi="Cambria" w:cs="Times New Roman"/>
      <w:sz w:val="24"/>
      <w:szCs w:val="24"/>
      <w:lang w:val="en-US"/>
    </w:rPr>
  </w:style>
  <w:style w:type="character" w:styleId="Hyperlink">
    <w:name w:val="Hyperlink"/>
    <w:rsid w:val="00875992"/>
    <w:rPr>
      <w:color w:val="0000FF"/>
      <w:u w:val="single"/>
    </w:rPr>
  </w:style>
  <w:style w:type="paragraph" w:customStyle="1" w:styleId="Default">
    <w:name w:val="Default"/>
    <w:rsid w:val="008759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87599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1">
    <w:name w:val="Subtitle Char1"/>
    <w:basedOn w:val="DefaultParagraphFont"/>
    <w:uiPriority w:val="11"/>
    <w:rsid w:val="008759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eta.neuro.nl/research/dezeeu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1004</Words>
  <Characters>5527</Characters>
  <Application>Microsoft Office Word</Application>
  <DocSecurity>0</DocSecurity>
  <Lines>46</Lines>
  <Paragraphs>13</Paragraphs>
  <ScaleCrop>false</ScaleCrop>
  <Company>Erasmus Universiteit Rotterdam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EUCC</dc:creator>
  <cp:keywords/>
  <dc:description/>
  <cp:lastModifiedBy>EUCC</cp:lastModifiedBy>
  <cp:revision>5</cp:revision>
  <dcterms:created xsi:type="dcterms:W3CDTF">2012-09-25T12:11:00Z</dcterms:created>
  <dcterms:modified xsi:type="dcterms:W3CDTF">2012-11-09T16:19:00Z</dcterms:modified>
</cp:coreProperties>
</file>